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BB" w:rsidRDefault="001D12BB"/>
    <w:tbl>
      <w:tblPr>
        <w:tblStyle w:val="TableGrid"/>
        <w:tblW w:w="5000" w:type="pct"/>
        <w:tblLook w:val="04A0" w:firstRow="1" w:lastRow="0" w:firstColumn="1" w:lastColumn="0" w:noHBand="0" w:noVBand="1"/>
      </w:tblPr>
      <w:tblGrid>
        <w:gridCol w:w="8184"/>
        <w:gridCol w:w="4766"/>
      </w:tblGrid>
      <w:tr w:rsidR="000159EF" w:rsidRPr="000159EF" w:rsidTr="00F000B3">
        <w:trPr>
          <w:trHeight w:val="917"/>
          <w:tblHeader/>
        </w:trPr>
        <w:tc>
          <w:tcPr>
            <w:tcW w:w="5000" w:type="pct"/>
            <w:gridSpan w:val="2"/>
            <w:shd w:val="clear" w:color="auto" w:fill="E2EFD9" w:themeFill="accent6" w:themeFillTint="33"/>
          </w:tcPr>
          <w:p w:rsidR="000159EF" w:rsidRPr="000159EF" w:rsidRDefault="000159EF" w:rsidP="000159EF">
            <w:pPr>
              <w:jc w:val="center"/>
              <w:rPr>
                <w:rFonts w:ascii="Arial" w:hAnsi="Arial" w:cs="Arial"/>
                <w:b/>
                <w:sz w:val="24"/>
                <w:szCs w:val="24"/>
              </w:rPr>
            </w:pPr>
            <w:r w:rsidRPr="000159EF">
              <w:rPr>
                <w:rFonts w:ascii="Arial" w:hAnsi="Arial" w:cs="Arial"/>
                <w:b/>
                <w:sz w:val="24"/>
                <w:szCs w:val="24"/>
              </w:rPr>
              <w:t>HCCC Crosswalk to the Skills USA Competitive Events</w:t>
            </w:r>
          </w:p>
          <w:p w:rsidR="000159EF" w:rsidRPr="000159EF" w:rsidRDefault="000159EF" w:rsidP="000159EF">
            <w:pPr>
              <w:jc w:val="center"/>
              <w:rPr>
                <w:rFonts w:ascii="Arial" w:hAnsi="Arial" w:cs="Arial"/>
                <w:sz w:val="24"/>
                <w:szCs w:val="24"/>
              </w:rPr>
            </w:pPr>
            <w:hyperlink r:id="rId5" w:history="1">
              <w:r w:rsidRPr="000159EF">
                <w:rPr>
                  <w:rStyle w:val="Hyperlink"/>
                  <w:rFonts w:ascii="Arial" w:hAnsi="Arial" w:cs="Arial"/>
                  <w:sz w:val="24"/>
                  <w:szCs w:val="24"/>
                </w:rPr>
                <w:t>http://www.skillsusa.org/index.shtml</w:t>
              </w:r>
            </w:hyperlink>
          </w:p>
          <w:p w:rsidR="000159EF" w:rsidRPr="000159EF" w:rsidRDefault="000159EF" w:rsidP="000159EF">
            <w:pPr>
              <w:jc w:val="center"/>
              <w:rPr>
                <w:rFonts w:ascii="Arial" w:hAnsi="Arial" w:cs="Arial"/>
                <w:sz w:val="24"/>
                <w:szCs w:val="24"/>
              </w:rPr>
            </w:pPr>
          </w:p>
        </w:tc>
      </w:tr>
      <w:tr w:rsidR="000159EF" w:rsidRPr="000159EF" w:rsidTr="00F000B3">
        <w:trPr>
          <w:tblHeader/>
        </w:trPr>
        <w:tc>
          <w:tcPr>
            <w:tcW w:w="3160" w:type="pct"/>
            <w:shd w:val="clear" w:color="auto" w:fill="E2EFD9" w:themeFill="accent6" w:themeFillTint="33"/>
          </w:tcPr>
          <w:p w:rsidR="000159EF" w:rsidRPr="000159EF" w:rsidRDefault="000159EF" w:rsidP="000159EF">
            <w:pPr>
              <w:jc w:val="center"/>
              <w:rPr>
                <w:rStyle w:val="Strong"/>
                <w:rFonts w:ascii="Arial" w:hAnsi="Arial" w:cs="Arial"/>
                <w:color w:val="333333"/>
                <w:sz w:val="24"/>
                <w:szCs w:val="24"/>
              </w:rPr>
            </w:pPr>
            <w:r w:rsidRPr="000159EF">
              <w:rPr>
                <w:rStyle w:val="Strong"/>
                <w:rFonts w:ascii="Arial" w:hAnsi="Arial" w:cs="Arial"/>
                <w:color w:val="333333"/>
                <w:sz w:val="24"/>
                <w:szCs w:val="24"/>
              </w:rPr>
              <w:t>Skills USA Competitive Events</w:t>
            </w:r>
          </w:p>
        </w:tc>
        <w:tc>
          <w:tcPr>
            <w:tcW w:w="1840" w:type="pct"/>
            <w:shd w:val="clear" w:color="auto" w:fill="E2EFD9" w:themeFill="accent6" w:themeFillTint="33"/>
          </w:tcPr>
          <w:p w:rsidR="000159EF" w:rsidRPr="000159EF" w:rsidRDefault="000159EF" w:rsidP="000159EF">
            <w:pPr>
              <w:jc w:val="center"/>
              <w:rPr>
                <w:rFonts w:ascii="Arial" w:hAnsi="Arial" w:cs="Arial"/>
                <w:b/>
                <w:sz w:val="24"/>
                <w:szCs w:val="24"/>
              </w:rPr>
            </w:pPr>
            <w:r w:rsidRPr="000159EF">
              <w:rPr>
                <w:rFonts w:ascii="Arial" w:hAnsi="Arial" w:cs="Arial"/>
                <w:b/>
                <w:sz w:val="24"/>
                <w:szCs w:val="24"/>
              </w:rPr>
              <w:t>HCCC Module</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Action Skills</w:t>
            </w:r>
            <w:r w:rsidRPr="000159EF">
              <w:rPr>
                <w:rFonts w:ascii="Arial" w:hAnsi="Arial" w:cs="Arial"/>
                <w:color w:val="333333"/>
                <w:sz w:val="20"/>
                <w:szCs w:val="20"/>
              </w:rPr>
              <w:br/>
              <w:t>A five- to seven-minute demonstration of an occupational skill in an area in which a student is training. Contestants use examples, experiments, displays or practical operations to clearly explain their skills using contestant-prepared visual aids.</w:t>
            </w:r>
          </w:p>
        </w:tc>
        <w:tc>
          <w:tcPr>
            <w:tcW w:w="1840" w:type="pct"/>
          </w:tcPr>
          <w:p w:rsidR="009F39E8" w:rsidRDefault="000159EF">
            <w:pPr>
              <w:rPr>
                <w:rFonts w:ascii="Arial" w:hAnsi="Arial" w:cs="Arial"/>
                <w:sz w:val="20"/>
                <w:szCs w:val="20"/>
              </w:rPr>
            </w:pPr>
            <w:r w:rsidRPr="000159EF">
              <w:rPr>
                <w:rFonts w:ascii="Arial" w:hAnsi="Arial" w:cs="Arial"/>
                <w:sz w:val="20"/>
                <w:szCs w:val="20"/>
              </w:rPr>
              <w:t xml:space="preserve">Module: </w:t>
            </w:r>
          </w:p>
          <w:p w:rsidR="001D12BB" w:rsidRPr="009F39E8" w:rsidRDefault="000159EF" w:rsidP="009F39E8">
            <w:pPr>
              <w:pStyle w:val="ListParagraph"/>
              <w:numPr>
                <w:ilvl w:val="0"/>
                <w:numId w:val="5"/>
              </w:numPr>
              <w:ind w:left="433"/>
              <w:rPr>
                <w:rFonts w:ascii="Arial" w:hAnsi="Arial" w:cs="Arial"/>
                <w:sz w:val="20"/>
                <w:szCs w:val="20"/>
              </w:rPr>
            </w:pPr>
            <w:r w:rsidRPr="009F39E8">
              <w:rPr>
                <w:rFonts w:ascii="Arial" w:hAnsi="Arial" w:cs="Arial"/>
                <w:sz w:val="20"/>
                <w:szCs w:val="20"/>
              </w:rPr>
              <w:t>Behaviors for Success</w:t>
            </w:r>
            <w:r w:rsidR="00F000B3" w:rsidRPr="009F39E8">
              <w:rPr>
                <w:rFonts w:ascii="Arial" w:hAnsi="Arial" w:cs="Arial"/>
                <w:sz w:val="20"/>
                <w:szCs w:val="20"/>
              </w:rPr>
              <w:t xml:space="preserve"> in Healthcare Settings</w:t>
            </w:r>
          </w:p>
        </w:tc>
      </w:tr>
      <w:tr w:rsidR="001D12BB" w:rsidRPr="000159EF" w:rsidTr="00F000B3">
        <w:tc>
          <w:tcPr>
            <w:tcW w:w="3160" w:type="pct"/>
          </w:tcPr>
          <w:p w:rsidR="001D12BB" w:rsidRPr="000159EF" w:rsidRDefault="001D12BB" w:rsidP="000159EF">
            <w:pPr>
              <w:rPr>
                <w:rFonts w:ascii="Arial" w:hAnsi="Arial" w:cs="Arial"/>
                <w:sz w:val="20"/>
                <w:szCs w:val="20"/>
              </w:rPr>
            </w:pPr>
            <w:r w:rsidRPr="000159EF">
              <w:rPr>
                <w:rStyle w:val="Strong"/>
                <w:rFonts w:ascii="Arial" w:hAnsi="Arial" w:cs="Arial"/>
                <w:color w:val="333333"/>
                <w:sz w:val="20"/>
                <w:szCs w:val="20"/>
              </w:rPr>
              <w:t>Basic Health Care Skills</w:t>
            </w:r>
            <w:r w:rsidRPr="000159EF">
              <w:rPr>
                <w:rFonts w:ascii="Arial" w:hAnsi="Arial" w:cs="Arial"/>
                <w:color w:val="333333"/>
                <w:sz w:val="20"/>
                <w:szCs w:val="20"/>
              </w:rPr>
              <w:br/>
              <w:t xml:space="preserve">Contestants will demonstrate their knowledge and ability to perform entry-level procedures or skills based on the following list of core standards: </w:t>
            </w:r>
            <w:r w:rsidR="009F39E8">
              <w:rPr>
                <w:rFonts w:ascii="Arial" w:hAnsi="Arial" w:cs="Arial"/>
                <w:color w:val="333333"/>
                <w:sz w:val="20"/>
                <w:szCs w:val="20"/>
              </w:rPr>
              <w:t xml:space="preserve">1. </w:t>
            </w:r>
            <w:r w:rsidRPr="000159EF">
              <w:rPr>
                <w:rFonts w:ascii="Arial" w:hAnsi="Arial" w:cs="Arial"/>
                <w:color w:val="333333"/>
                <w:sz w:val="20"/>
                <w:szCs w:val="20"/>
              </w:rPr>
              <w:t xml:space="preserve">Academic Foundations, </w:t>
            </w:r>
            <w:r w:rsidR="009F39E8">
              <w:rPr>
                <w:rFonts w:ascii="Arial" w:hAnsi="Arial" w:cs="Arial"/>
                <w:color w:val="333333"/>
                <w:sz w:val="20"/>
                <w:szCs w:val="20"/>
              </w:rPr>
              <w:t xml:space="preserve">2. </w:t>
            </w:r>
            <w:r w:rsidRPr="000159EF">
              <w:rPr>
                <w:rFonts w:ascii="Arial" w:hAnsi="Arial" w:cs="Arial"/>
                <w:color w:val="333333"/>
                <w:sz w:val="20"/>
                <w:szCs w:val="20"/>
              </w:rPr>
              <w:t xml:space="preserve">Communication Skills, </w:t>
            </w:r>
            <w:r w:rsidR="009F39E8">
              <w:rPr>
                <w:rFonts w:ascii="Arial" w:hAnsi="Arial" w:cs="Arial"/>
                <w:color w:val="333333"/>
                <w:sz w:val="20"/>
                <w:szCs w:val="20"/>
              </w:rPr>
              <w:t xml:space="preserve">3. </w:t>
            </w:r>
            <w:r w:rsidRPr="000159EF">
              <w:rPr>
                <w:rFonts w:ascii="Arial" w:hAnsi="Arial" w:cs="Arial"/>
                <w:color w:val="333333"/>
                <w:sz w:val="20"/>
                <w:szCs w:val="20"/>
              </w:rPr>
              <w:t xml:space="preserve">Career Opportunity Concepts and Systems, </w:t>
            </w:r>
            <w:r w:rsidR="009F39E8">
              <w:rPr>
                <w:rFonts w:ascii="Arial" w:hAnsi="Arial" w:cs="Arial"/>
                <w:color w:val="333333"/>
                <w:sz w:val="20"/>
                <w:szCs w:val="20"/>
              </w:rPr>
              <w:t xml:space="preserve">4. </w:t>
            </w:r>
            <w:r w:rsidRPr="000159EF">
              <w:rPr>
                <w:rFonts w:ascii="Arial" w:hAnsi="Arial" w:cs="Arial"/>
                <w:color w:val="333333"/>
                <w:sz w:val="20"/>
                <w:szCs w:val="20"/>
              </w:rPr>
              <w:t xml:space="preserve">Employability and Teamwork, </w:t>
            </w:r>
            <w:r w:rsidR="009F39E8">
              <w:rPr>
                <w:rFonts w:ascii="Arial" w:hAnsi="Arial" w:cs="Arial"/>
                <w:color w:val="333333"/>
                <w:sz w:val="20"/>
                <w:szCs w:val="20"/>
              </w:rPr>
              <w:t xml:space="preserve">5. </w:t>
            </w:r>
            <w:r w:rsidRPr="000159EF">
              <w:rPr>
                <w:rFonts w:ascii="Arial" w:hAnsi="Arial" w:cs="Arial"/>
                <w:color w:val="333333"/>
                <w:sz w:val="20"/>
                <w:szCs w:val="20"/>
              </w:rPr>
              <w:t xml:space="preserve">Ethical and Legal Issues, </w:t>
            </w:r>
            <w:r w:rsidR="009F39E8">
              <w:rPr>
                <w:rFonts w:ascii="Arial" w:hAnsi="Arial" w:cs="Arial"/>
                <w:color w:val="333333"/>
                <w:sz w:val="20"/>
                <w:szCs w:val="20"/>
              </w:rPr>
              <w:t xml:space="preserve">6. </w:t>
            </w:r>
            <w:r w:rsidRPr="000159EF">
              <w:rPr>
                <w:rFonts w:ascii="Arial" w:hAnsi="Arial" w:cs="Arial"/>
                <w:color w:val="333333"/>
                <w:sz w:val="20"/>
                <w:szCs w:val="20"/>
              </w:rPr>
              <w:t>Safety Practices. Performance will be evaluated through various stations involving written, verbal and skills testin</w:t>
            </w:r>
            <w:r w:rsidR="000159EF" w:rsidRPr="000159EF">
              <w:rPr>
                <w:rFonts w:ascii="Arial" w:hAnsi="Arial" w:cs="Arial"/>
                <w:color w:val="333333"/>
                <w:sz w:val="20"/>
                <w:szCs w:val="20"/>
              </w:rPr>
              <w:t>g</w:t>
            </w:r>
            <w:r w:rsidRPr="000159EF">
              <w:rPr>
                <w:rFonts w:ascii="Arial" w:hAnsi="Arial" w:cs="Arial"/>
                <w:color w:val="333333"/>
                <w:sz w:val="20"/>
                <w:szCs w:val="20"/>
              </w:rPr>
              <w:t xml:space="preserve">. </w:t>
            </w:r>
          </w:p>
        </w:tc>
        <w:tc>
          <w:tcPr>
            <w:tcW w:w="1840" w:type="pct"/>
          </w:tcPr>
          <w:p w:rsidR="001D12BB" w:rsidRPr="000159EF" w:rsidRDefault="000159EF" w:rsidP="009F39E8">
            <w:pPr>
              <w:pStyle w:val="ListParagraph"/>
              <w:numPr>
                <w:ilvl w:val="0"/>
                <w:numId w:val="6"/>
              </w:numPr>
              <w:ind w:left="360"/>
              <w:rPr>
                <w:rFonts w:ascii="Arial" w:hAnsi="Arial" w:cs="Arial"/>
                <w:sz w:val="20"/>
                <w:szCs w:val="20"/>
              </w:rPr>
            </w:pPr>
            <w:r w:rsidRPr="000159EF">
              <w:rPr>
                <w:rFonts w:ascii="Arial" w:hAnsi="Arial" w:cs="Arial"/>
                <w:sz w:val="20"/>
                <w:szCs w:val="20"/>
              </w:rPr>
              <w:t>Academic Foundations not covered</w:t>
            </w:r>
          </w:p>
          <w:p w:rsidR="000159EF" w:rsidRPr="009F39E8" w:rsidRDefault="000159EF" w:rsidP="009F39E8">
            <w:pPr>
              <w:ind w:left="343"/>
              <w:rPr>
                <w:rFonts w:ascii="Arial" w:hAnsi="Arial" w:cs="Arial"/>
                <w:sz w:val="20"/>
                <w:szCs w:val="20"/>
              </w:rPr>
            </w:pPr>
            <w:r w:rsidRPr="009F39E8">
              <w:rPr>
                <w:rFonts w:ascii="Arial" w:hAnsi="Arial" w:cs="Arial"/>
                <w:sz w:val="20"/>
                <w:szCs w:val="20"/>
              </w:rPr>
              <w:t xml:space="preserve">Modules: </w:t>
            </w:r>
          </w:p>
          <w:p w:rsidR="000159EF" w:rsidRDefault="000159EF" w:rsidP="009F39E8">
            <w:pPr>
              <w:pStyle w:val="ListParagraph"/>
              <w:numPr>
                <w:ilvl w:val="0"/>
                <w:numId w:val="6"/>
              </w:numPr>
              <w:ind w:left="360"/>
              <w:rPr>
                <w:rFonts w:ascii="Arial" w:hAnsi="Arial" w:cs="Arial"/>
                <w:sz w:val="20"/>
                <w:szCs w:val="20"/>
              </w:rPr>
            </w:pPr>
            <w:r w:rsidRPr="000159EF">
              <w:rPr>
                <w:rFonts w:ascii="Arial" w:hAnsi="Arial" w:cs="Arial"/>
                <w:sz w:val="20"/>
                <w:szCs w:val="20"/>
              </w:rPr>
              <w:t>Communication in Healthcare,</w:t>
            </w:r>
          </w:p>
          <w:p w:rsidR="000159EF" w:rsidRDefault="000159EF" w:rsidP="009F39E8">
            <w:pPr>
              <w:pStyle w:val="ListParagraph"/>
              <w:numPr>
                <w:ilvl w:val="0"/>
                <w:numId w:val="6"/>
              </w:numPr>
              <w:ind w:left="360"/>
              <w:rPr>
                <w:rFonts w:ascii="Arial" w:hAnsi="Arial" w:cs="Arial"/>
                <w:sz w:val="20"/>
                <w:szCs w:val="20"/>
              </w:rPr>
            </w:pPr>
            <w:r w:rsidRPr="000159EF">
              <w:rPr>
                <w:rFonts w:ascii="Arial" w:hAnsi="Arial" w:cs="Arial"/>
                <w:sz w:val="20"/>
                <w:szCs w:val="20"/>
              </w:rPr>
              <w:t xml:space="preserve">Behaviors for success </w:t>
            </w:r>
            <w:r w:rsidR="00F000B3">
              <w:rPr>
                <w:rFonts w:ascii="Arial" w:hAnsi="Arial" w:cs="Arial"/>
                <w:sz w:val="20"/>
                <w:szCs w:val="20"/>
              </w:rPr>
              <w:t xml:space="preserve">in Healthcare Settings </w:t>
            </w:r>
            <w:r w:rsidRPr="000159EF">
              <w:rPr>
                <w:rFonts w:ascii="Arial" w:hAnsi="Arial" w:cs="Arial"/>
                <w:sz w:val="20"/>
                <w:szCs w:val="20"/>
              </w:rPr>
              <w:t>(includes career exploration)</w:t>
            </w:r>
          </w:p>
          <w:p w:rsidR="009F39E8" w:rsidRPr="009F39E8" w:rsidRDefault="009F39E8" w:rsidP="009F39E8">
            <w:pPr>
              <w:pStyle w:val="ListParagraph"/>
              <w:numPr>
                <w:ilvl w:val="0"/>
                <w:numId w:val="6"/>
              </w:numPr>
              <w:ind w:left="360"/>
              <w:rPr>
                <w:rFonts w:ascii="Arial" w:hAnsi="Arial" w:cs="Arial"/>
                <w:sz w:val="20"/>
                <w:szCs w:val="20"/>
              </w:rPr>
            </w:pPr>
            <w:r>
              <w:rPr>
                <w:rFonts w:ascii="Arial" w:hAnsi="Arial" w:cs="Arial"/>
                <w:sz w:val="20"/>
                <w:szCs w:val="20"/>
              </w:rPr>
              <w:t>Communication in Healthcare</w:t>
            </w:r>
          </w:p>
          <w:p w:rsidR="000159EF" w:rsidRPr="000159EF" w:rsidRDefault="000159EF" w:rsidP="009F39E8">
            <w:pPr>
              <w:pStyle w:val="ListParagraph"/>
              <w:numPr>
                <w:ilvl w:val="0"/>
                <w:numId w:val="6"/>
              </w:numPr>
              <w:ind w:left="360"/>
              <w:rPr>
                <w:rFonts w:ascii="Arial" w:hAnsi="Arial" w:cs="Arial"/>
                <w:sz w:val="20"/>
                <w:szCs w:val="20"/>
              </w:rPr>
            </w:pPr>
            <w:r w:rsidRPr="000159EF">
              <w:rPr>
                <w:rFonts w:ascii="Arial" w:hAnsi="Arial" w:cs="Arial"/>
                <w:sz w:val="20"/>
                <w:szCs w:val="20"/>
              </w:rPr>
              <w:t>Legal Issues in Healthcare</w:t>
            </w:r>
            <w:r w:rsidR="009F39E8">
              <w:rPr>
                <w:rFonts w:ascii="Arial" w:hAnsi="Arial" w:cs="Arial"/>
                <w:sz w:val="20"/>
                <w:szCs w:val="20"/>
              </w:rPr>
              <w:t xml:space="preserve"> and </w:t>
            </w:r>
          </w:p>
          <w:p w:rsidR="000159EF" w:rsidRDefault="000159EF" w:rsidP="009F39E8">
            <w:pPr>
              <w:pStyle w:val="ListParagraph"/>
              <w:ind w:left="360"/>
              <w:rPr>
                <w:rFonts w:ascii="Arial" w:hAnsi="Arial" w:cs="Arial"/>
                <w:sz w:val="20"/>
                <w:szCs w:val="20"/>
              </w:rPr>
            </w:pPr>
            <w:r w:rsidRPr="000159EF">
              <w:rPr>
                <w:rFonts w:ascii="Arial" w:hAnsi="Arial" w:cs="Arial"/>
                <w:sz w:val="20"/>
                <w:szCs w:val="20"/>
              </w:rPr>
              <w:t>Healthcare Ethics</w:t>
            </w:r>
          </w:p>
          <w:p w:rsidR="000159EF" w:rsidRPr="000159EF" w:rsidRDefault="009F39E8">
            <w:pPr>
              <w:rPr>
                <w:rFonts w:ascii="Arial" w:hAnsi="Arial" w:cs="Arial"/>
                <w:sz w:val="20"/>
                <w:szCs w:val="20"/>
              </w:rPr>
            </w:pPr>
            <w:r w:rsidRPr="009F39E8">
              <w:rPr>
                <w:rFonts w:ascii="Arial" w:hAnsi="Arial" w:cs="Arial"/>
                <w:sz w:val="20"/>
                <w:szCs w:val="20"/>
              </w:rPr>
              <w:t xml:space="preserve">6. </w:t>
            </w:r>
            <w:r>
              <w:rPr>
                <w:rFonts w:ascii="Arial" w:hAnsi="Arial" w:cs="Arial"/>
                <w:sz w:val="20"/>
                <w:szCs w:val="20"/>
              </w:rPr>
              <w:t xml:space="preserve">  </w:t>
            </w:r>
            <w:r w:rsidRPr="009F39E8">
              <w:rPr>
                <w:rFonts w:ascii="Arial" w:hAnsi="Arial" w:cs="Arial"/>
                <w:sz w:val="20"/>
                <w:szCs w:val="20"/>
              </w:rPr>
              <w:t xml:space="preserve"> </w:t>
            </w:r>
            <w:r w:rsidRPr="009F39E8">
              <w:rPr>
                <w:rFonts w:ascii="Arial" w:hAnsi="Arial" w:cs="Arial"/>
                <w:sz w:val="20"/>
                <w:szCs w:val="20"/>
              </w:rPr>
              <w:t>Healthcare Safety and Standard Precautions</w:t>
            </w:r>
          </w:p>
        </w:tc>
      </w:tr>
      <w:tr w:rsidR="001D12BB" w:rsidRPr="000159EF" w:rsidTr="00F000B3">
        <w:tc>
          <w:tcPr>
            <w:tcW w:w="3160" w:type="pct"/>
          </w:tcPr>
          <w:p w:rsidR="001D12BB" w:rsidRPr="000159EF" w:rsidRDefault="001D12BB">
            <w:pPr>
              <w:rPr>
                <w:rFonts w:ascii="Arial" w:hAnsi="Arial" w:cs="Arial"/>
                <w:sz w:val="20"/>
                <w:szCs w:val="20"/>
              </w:rPr>
            </w:pPr>
            <w:bookmarkStart w:id="0" w:name="pathways"/>
            <w:bookmarkEnd w:id="0"/>
            <w:r w:rsidRPr="000159EF">
              <w:rPr>
                <w:rStyle w:val="Strong"/>
                <w:rFonts w:ascii="Arial" w:hAnsi="Arial" w:cs="Arial"/>
                <w:color w:val="333333"/>
                <w:sz w:val="20"/>
                <w:szCs w:val="20"/>
              </w:rPr>
              <w:t>Career Pathways Showcase</w:t>
            </w:r>
            <w:r w:rsidRPr="000159EF">
              <w:rPr>
                <w:rFonts w:ascii="Arial" w:hAnsi="Arial" w:cs="Arial"/>
                <w:color w:val="333333"/>
                <w:sz w:val="20"/>
                <w:szCs w:val="20"/>
              </w:rPr>
              <w:t xml:space="preserve"> (formerly Tech Prep Showcase</w:t>
            </w:r>
            <w:proofErr w:type="gramStart"/>
            <w:r w:rsidRPr="000159EF">
              <w:rPr>
                <w:rFonts w:ascii="Arial" w:hAnsi="Arial" w:cs="Arial"/>
                <w:color w:val="333333"/>
                <w:sz w:val="20"/>
                <w:szCs w:val="20"/>
              </w:rPr>
              <w:t>)</w:t>
            </w:r>
            <w:proofErr w:type="gramEnd"/>
            <w:r w:rsidRPr="000159EF">
              <w:rPr>
                <w:rFonts w:ascii="Arial" w:hAnsi="Arial" w:cs="Arial"/>
                <w:color w:val="333333"/>
                <w:sz w:val="20"/>
                <w:szCs w:val="20"/>
              </w:rPr>
              <w:br/>
              <w:t>Student teams will use their course of study as the basis of a project that will benefit their class, school, community or industry. The project must highlight an aspect of their career cluster training. Upon completion of the project, the students will develop a display and use it within their community to explain their training and their project. This contest will judge mastery of their training, its application, the project's benefit to their community, and display and presentation techniques.</w:t>
            </w:r>
          </w:p>
        </w:tc>
        <w:tc>
          <w:tcPr>
            <w:tcW w:w="1840" w:type="pct"/>
          </w:tcPr>
          <w:p w:rsidR="000159EF" w:rsidRDefault="000159EF" w:rsidP="000159EF">
            <w:pPr>
              <w:rPr>
                <w:rFonts w:ascii="Arial" w:hAnsi="Arial" w:cs="Arial"/>
                <w:sz w:val="20"/>
                <w:szCs w:val="20"/>
              </w:rPr>
            </w:pPr>
            <w:r>
              <w:rPr>
                <w:rFonts w:ascii="Arial" w:hAnsi="Arial" w:cs="Arial"/>
                <w:sz w:val="20"/>
                <w:szCs w:val="20"/>
              </w:rPr>
              <w:t xml:space="preserve">Module: </w:t>
            </w:r>
          </w:p>
          <w:p w:rsidR="000159EF" w:rsidRPr="000159EF" w:rsidRDefault="00DB6BD1" w:rsidP="000159EF">
            <w:pPr>
              <w:pStyle w:val="ListParagraph"/>
              <w:numPr>
                <w:ilvl w:val="0"/>
                <w:numId w:val="1"/>
              </w:numPr>
              <w:ind w:left="405"/>
              <w:rPr>
                <w:rFonts w:ascii="Arial" w:hAnsi="Arial" w:cs="Arial"/>
                <w:sz w:val="20"/>
                <w:szCs w:val="20"/>
              </w:rPr>
            </w:pPr>
            <w:r>
              <w:rPr>
                <w:rFonts w:ascii="Arial" w:hAnsi="Arial" w:cs="Arial"/>
                <w:sz w:val="20"/>
                <w:szCs w:val="20"/>
              </w:rPr>
              <w:t>Behaviors for S</w:t>
            </w:r>
            <w:r w:rsidR="000159EF" w:rsidRPr="000159EF">
              <w:rPr>
                <w:rFonts w:ascii="Arial" w:hAnsi="Arial" w:cs="Arial"/>
                <w:sz w:val="20"/>
                <w:szCs w:val="20"/>
              </w:rPr>
              <w:t>uccess</w:t>
            </w:r>
            <w:r>
              <w:rPr>
                <w:rFonts w:ascii="Arial" w:hAnsi="Arial" w:cs="Arial"/>
                <w:sz w:val="20"/>
                <w:szCs w:val="20"/>
              </w:rPr>
              <w:t xml:space="preserve"> in Healthcare Settings </w:t>
            </w:r>
            <w:r w:rsidR="000159EF" w:rsidRPr="000159EF">
              <w:rPr>
                <w:rFonts w:ascii="Arial" w:hAnsi="Arial" w:cs="Arial"/>
                <w:sz w:val="20"/>
                <w:szCs w:val="20"/>
              </w:rPr>
              <w:t>(includes career exploration)</w:t>
            </w:r>
          </w:p>
          <w:p w:rsidR="000159EF" w:rsidRPr="000159EF" w:rsidRDefault="000159EF" w:rsidP="000159EF">
            <w:pPr>
              <w:rPr>
                <w:rFonts w:ascii="Arial" w:hAnsi="Arial" w:cs="Arial"/>
                <w:sz w:val="20"/>
                <w:szCs w:val="20"/>
              </w:rPr>
            </w:pPr>
            <w:r w:rsidRPr="000159EF">
              <w:rPr>
                <w:rFonts w:ascii="Arial" w:hAnsi="Arial" w:cs="Arial"/>
                <w:sz w:val="20"/>
                <w:szCs w:val="20"/>
              </w:rPr>
              <w:tab/>
            </w:r>
          </w:p>
          <w:p w:rsidR="001D12BB" w:rsidRPr="000159EF" w:rsidRDefault="001D12BB" w:rsidP="000159EF">
            <w:pPr>
              <w:rPr>
                <w:rFonts w:ascii="Arial" w:hAnsi="Arial" w:cs="Arial"/>
                <w:sz w:val="20"/>
                <w:szCs w:val="20"/>
              </w:rPr>
            </w:pP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Chapter Display</w:t>
            </w:r>
            <w:r w:rsidRPr="000159EF">
              <w:rPr>
                <w:rFonts w:ascii="Arial" w:hAnsi="Arial" w:cs="Arial"/>
                <w:color w:val="333333"/>
                <w:sz w:val="20"/>
                <w:szCs w:val="20"/>
              </w:rPr>
              <w:br/>
              <w:t xml:space="preserve">Selects the outstanding promotional exhibit designed and constructed by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xml:space="preserve"> student members. The display is built around and articulates a common theme established annually by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The contest involves a team of no more than three students setting up the display and one student presenting information about the display in a presentation/interview with judges.</w:t>
            </w:r>
          </w:p>
        </w:tc>
        <w:tc>
          <w:tcPr>
            <w:tcW w:w="1840" w:type="pct"/>
          </w:tcPr>
          <w:p w:rsidR="00DB6BD1" w:rsidRDefault="00DB6BD1" w:rsidP="00DB6BD1">
            <w:pPr>
              <w:rPr>
                <w:rFonts w:ascii="Arial" w:hAnsi="Arial" w:cs="Arial"/>
                <w:sz w:val="20"/>
                <w:szCs w:val="20"/>
              </w:rPr>
            </w:pPr>
            <w:r>
              <w:rPr>
                <w:rFonts w:ascii="Arial" w:hAnsi="Arial" w:cs="Arial"/>
                <w:sz w:val="20"/>
                <w:szCs w:val="20"/>
              </w:rPr>
              <w:t xml:space="preserve">Module: </w:t>
            </w:r>
          </w:p>
          <w:p w:rsidR="00DB6BD1" w:rsidRPr="000159EF" w:rsidRDefault="00F000B3" w:rsidP="00DB6BD1">
            <w:pPr>
              <w:pStyle w:val="ListParagraph"/>
              <w:numPr>
                <w:ilvl w:val="0"/>
                <w:numId w:val="1"/>
              </w:numPr>
              <w:ind w:left="405"/>
              <w:rPr>
                <w:rFonts w:ascii="Arial" w:hAnsi="Arial" w:cs="Arial"/>
                <w:sz w:val="20"/>
                <w:szCs w:val="20"/>
              </w:rPr>
            </w:pPr>
            <w:r>
              <w:rPr>
                <w:rFonts w:ascii="Arial" w:hAnsi="Arial" w:cs="Arial"/>
                <w:sz w:val="20"/>
                <w:szCs w:val="20"/>
              </w:rPr>
              <w:t>Behaviors for S</w:t>
            </w:r>
            <w:r w:rsidR="00DB6BD1" w:rsidRPr="000159EF">
              <w:rPr>
                <w:rFonts w:ascii="Arial" w:hAnsi="Arial" w:cs="Arial"/>
                <w:sz w:val="20"/>
                <w:szCs w:val="20"/>
              </w:rPr>
              <w:t xml:space="preserve">uccess </w:t>
            </w:r>
            <w:r>
              <w:rPr>
                <w:rFonts w:ascii="Arial" w:hAnsi="Arial" w:cs="Arial"/>
                <w:sz w:val="20"/>
                <w:szCs w:val="20"/>
              </w:rPr>
              <w:t xml:space="preserve">in Healthcare Settings </w:t>
            </w:r>
            <w:r w:rsidR="00DB6BD1" w:rsidRPr="000159EF">
              <w:rPr>
                <w:rFonts w:ascii="Arial" w:hAnsi="Arial" w:cs="Arial"/>
                <w:sz w:val="20"/>
                <w:szCs w:val="20"/>
              </w:rPr>
              <w:t>(includes career exploration)</w:t>
            </w:r>
          </w:p>
          <w:p w:rsidR="001D12BB" w:rsidRPr="000159EF" w:rsidRDefault="001D12BB">
            <w:pPr>
              <w:rPr>
                <w:rFonts w:ascii="Arial" w:hAnsi="Arial" w:cs="Arial"/>
                <w:sz w:val="20"/>
                <w:szCs w:val="20"/>
              </w:rPr>
            </w:pPr>
          </w:p>
        </w:tc>
      </w:tr>
      <w:tr w:rsidR="001D12BB" w:rsidRPr="000159EF" w:rsidTr="00F000B3">
        <w:tc>
          <w:tcPr>
            <w:tcW w:w="3160" w:type="pct"/>
          </w:tcPr>
          <w:p w:rsidR="001D12BB" w:rsidRPr="00DB6BD1" w:rsidRDefault="001D12BB" w:rsidP="00DB6BD1">
            <w:pPr>
              <w:spacing w:before="100" w:beforeAutospacing="1" w:after="100" w:afterAutospacing="1"/>
              <w:rPr>
                <w:rFonts w:ascii="Arial" w:eastAsia="Times New Roman" w:hAnsi="Arial" w:cs="Arial"/>
                <w:color w:val="333333"/>
                <w:sz w:val="20"/>
                <w:szCs w:val="20"/>
              </w:rPr>
            </w:pPr>
            <w:r w:rsidRPr="001D12BB">
              <w:rPr>
                <w:rFonts w:ascii="Arial" w:eastAsia="Times New Roman" w:hAnsi="Arial" w:cs="Arial"/>
                <w:b/>
                <w:bCs/>
                <w:color w:val="333333"/>
                <w:sz w:val="20"/>
                <w:szCs w:val="20"/>
              </w:rPr>
              <w:t>Community Action Project</w:t>
            </w:r>
            <w:r w:rsidRPr="001D12BB">
              <w:rPr>
                <w:rFonts w:ascii="Arial" w:eastAsia="Times New Roman" w:hAnsi="Arial" w:cs="Arial"/>
                <w:color w:val="333333"/>
                <w:sz w:val="20"/>
                <w:szCs w:val="20"/>
              </w:rPr>
              <w:t>  (Demonstration)</w:t>
            </w:r>
            <w:r w:rsidRPr="001D12BB">
              <w:rPr>
                <w:rFonts w:ascii="Arial" w:eastAsia="Times New Roman" w:hAnsi="Arial" w:cs="Arial"/>
                <w:color w:val="333333"/>
                <w:sz w:val="20"/>
                <w:szCs w:val="20"/>
              </w:rPr>
              <w:br/>
              <w:t xml:space="preserve">Purpose: To evaluate a team of two contestants ability to develop, execute, document and present a project that was completed in their community or school, which provides a benefit to the community or the school. To evaluate local activities that benefit the community and to recognize excellence and professionalism in the area of community </w:t>
            </w:r>
            <w:r w:rsidRPr="001D12BB">
              <w:rPr>
                <w:rFonts w:ascii="Arial" w:eastAsia="Times New Roman" w:hAnsi="Arial" w:cs="Arial"/>
                <w:color w:val="333333"/>
                <w:sz w:val="20"/>
                <w:szCs w:val="20"/>
              </w:rPr>
              <w:lastRenderedPageBreak/>
              <w:t>service. This event also enables the community to become aware of the outstanding work being performed by career and technical education students.</w:t>
            </w:r>
          </w:p>
        </w:tc>
        <w:tc>
          <w:tcPr>
            <w:tcW w:w="1840" w:type="pct"/>
          </w:tcPr>
          <w:p w:rsidR="001D12BB" w:rsidRDefault="00DB6BD1">
            <w:pPr>
              <w:rPr>
                <w:rFonts w:ascii="Arial" w:hAnsi="Arial" w:cs="Arial"/>
                <w:sz w:val="20"/>
                <w:szCs w:val="20"/>
              </w:rPr>
            </w:pPr>
            <w:r>
              <w:rPr>
                <w:rFonts w:ascii="Arial" w:hAnsi="Arial" w:cs="Arial"/>
                <w:sz w:val="20"/>
                <w:szCs w:val="20"/>
              </w:rPr>
              <w:lastRenderedPageBreak/>
              <w:t xml:space="preserve">Module: </w:t>
            </w:r>
          </w:p>
          <w:p w:rsidR="00DB6BD1" w:rsidRDefault="00DB6BD1" w:rsidP="00DB6BD1">
            <w:pPr>
              <w:pStyle w:val="ListParagraph"/>
              <w:numPr>
                <w:ilvl w:val="0"/>
                <w:numId w:val="1"/>
              </w:numPr>
              <w:ind w:left="405"/>
              <w:rPr>
                <w:rFonts w:ascii="Arial" w:hAnsi="Arial" w:cs="Arial"/>
                <w:sz w:val="20"/>
                <w:szCs w:val="20"/>
              </w:rPr>
            </w:pPr>
            <w:r>
              <w:rPr>
                <w:rFonts w:ascii="Arial" w:hAnsi="Arial" w:cs="Arial"/>
                <w:sz w:val="20"/>
                <w:szCs w:val="20"/>
              </w:rPr>
              <w:t>Awareness and Sensitivity to Clients Needs</w:t>
            </w:r>
          </w:p>
          <w:p w:rsidR="00DB6BD1" w:rsidRPr="00DB6BD1" w:rsidRDefault="00DB6BD1" w:rsidP="00DB6BD1">
            <w:pPr>
              <w:pStyle w:val="ListParagraph"/>
              <w:numPr>
                <w:ilvl w:val="0"/>
                <w:numId w:val="1"/>
              </w:numPr>
              <w:ind w:left="405"/>
              <w:rPr>
                <w:rFonts w:ascii="Arial" w:hAnsi="Arial" w:cs="Arial"/>
                <w:sz w:val="20"/>
                <w:szCs w:val="20"/>
              </w:rPr>
            </w:pPr>
            <w:r>
              <w:rPr>
                <w:rFonts w:ascii="Arial" w:hAnsi="Arial" w:cs="Arial"/>
                <w:sz w:val="20"/>
                <w:szCs w:val="20"/>
              </w:rPr>
              <w:t>Respecting Client and Staff Diversity</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lastRenderedPageBreak/>
              <w:t>Community Service</w:t>
            </w:r>
            <w:r w:rsidRPr="000159EF">
              <w:rPr>
                <w:rFonts w:ascii="Arial" w:hAnsi="Arial" w:cs="Arial"/>
                <w:color w:val="333333"/>
                <w:sz w:val="20"/>
                <w:szCs w:val="20"/>
              </w:rPr>
              <w:br/>
              <w:t xml:space="preserve">The community service competition evaluates local chapter activities that benefit the community.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xml:space="preserve"> chapters present their best community service project for the year. Contestants are evaluated on a notebook which reports their chapter's community service project and on a live presentation, which is given to a panel of three judges.</w:t>
            </w:r>
          </w:p>
        </w:tc>
        <w:tc>
          <w:tcPr>
            <w:tcW w:w="1840" w:type="pct"/>
          </w:tcPr>
          <w:p w:rsidR="00DB6BD1" w:rsidRDefault="00DB6BD1" w:rsidP="00DB6BD1">
            <w:pPr>
              <w:rPr>
                <w:rFonts w:ascii="Arial" w:hAnsi="Arial" w:cs="Arial"/>
                <w:sz w:val="20"/>
                <w:szCs w:val="20"/>
              </w:rPr>
            </w:pPr>
            <w:r>
              <w:rPr>
                <w:rFonts w:ascii="Arial" w:hAnsi="Arial" w:cs="Arial"/>
                <w:sz w:val="20"/>
                <w:szCs w:val="20"/>
              </w:rPr>
              <w:t>Module</w:t>
            </w:r>
            <w:r w:rsidR="009F39E8">
              <w:rPr>
                <w:rFonts w:ascii="Arial" w:hAnsi="Arial" w:cs="Arial"/>
                <w:sz w:val="20"/>
                <w:szCs w:val="20"/>
              </w:rPr>
              <w:t>s</w:t>
            </w:r>
            <w:r>
              <w:rPr>
                <w:rFonts w:ascii="Arial" w:hAnsi="Arial" w:cs="Arial"/>
                <w:sz w:val="20"/>
                <w:szCs w:val="20"/>
              </w:rPr>
              <w:t xml:space="preserve">: </w:t>
            </w:r>
          </w:p>
          <w:p w:rsidR="00DB6BD1" w:rsidRDefault="00DB6BD1" w:rsidP="0015441A">
            <w:pPr>
              <w:pStyle w:val="ListParagraph"/>
              <w:numPr>
                <w:ilvl w:val="0"/>
                <w:numId w:val="1"/>
              </w:numPr>
              <w:ind w:left="405"/>
              <w:rPr>
                <w:rFonts w:ascii="Arial" w:hAnsi="Arial" w:cs="Arial"/>
                <w:sz w:val="20"/>
                <w:szCs w:val="20"/>
              </w:rPr>
            </w:pPr>
            <w:r w:rsidRPr="00DB6BD1">
              <w:rPr>
                <w:rFonts w:ascii="Arial" w:hAnsi="Arial" w:cs="Arial"/>
                <w:sz w:val="20"/>
                <w:szCs w:val="20"/>
              </w:rPr>
              <w:t>Awareness and Sensitivity to Clients Needs</w:t>
            </w:r>
          </w:p>
          <w:p w:rsidR="001D12BB" w:rsidRPr="00DB6BD1" w:rsidRDefault="00DB6BD1" w:rsidP="00DB6BD1">
            <w:pPr>
              <w:pStyle w:val="ListParagraph"/>
              <w:numPr>
                <w:ilvl w:val="0"/>
                <w:numId w:val="1"/>
              </w:numPr>
              <w:ind w:left="405"/>
              <w:rPr>
                <w:rFonts w:ascii="Arial" w:hAnsi="Arial" w:cs="Arial"/>
                <w:sz w:val="20"/>
                <w:szCs w:val="20"/>
              </w:rPr>
            </w:pPr>
            <w:r w:rsidRPr="00DB6BD1">
              <w:rPr>
                <w:rFonts w:ascii="Arial" w:hAnsi="Arial" w:cs="Arial"/>
                <w:sz w:val="20"/>
                <w:szCs w:val="20"/>
              </w:rPr>
              <w:t>Respecting Client and Staff Diversity</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Customer Service</w:t>
            </w:r>
            <w:r w:rsidRPr="000159EF">
              <w:rPr>
                <w:rFonts w:ascii="Arial" w:hAnsi="Arial" w:cs="Arial"/>
                <w:color w:val="333333"/>
                <w:sz w:val="20"/>
                <w:szCs w:val="20"/>
              </w:rPr>
              <w:br/>
              <w:t xml:space="preserve">Evaluates students' proficiency in providing customer service. The contest involves live, role-playing situations. Contestants demonstrate their ability to perform customer service in both written and oral forms including telephone and computer skills, communications, problem solving, </w:t>
            </w:r>
            <w:r w:rsidR="009F39E8" w:rsidRPr="000159EF">
              <w:rPr>
                <w:rFonts w:ascii="Arial" w:hAnsi="Arial" w:cs="Arial"/>
                <w:color w:val="333333"/>
                <w:sz w:val="20"/>
                <w:szCs w:val="20"/>
              </w:rPr>
              <w:t>and conflict</w:t>
            </w:r>
            <w:r w:rsidRPr="000159EF">
              <w:rPr>
                <w:rFonts w:ascii="Arial" w:hAnsi="Arial" w:cs="Arial"/>
                <w:color w:val="333333"/>
                <w:sz w:val="20"/>
                <w:szCs w:val="20"/>
              </w:rPr>
              <w:t xml:space="preserve"> resolution and business etiquette.</w:t>
            </w:r>
          </w:p>
        </w:tc>
        <w:tc>
          <w:tcPr>
            <w:tcW w:w="1840" w:type="pct"/>
          </w:tcPr>
          <w:p w:rsidR="00DB6BD1" w:rsidRDefault="00DB6BD1" w:rsidP="00DB6BD1">
            <w:pPr>
              <w:rPr>
                <w:rFonts w:ascii="Arial" w:hAnsi="Arial" w:cs="Arial"/>
                <w:sz w:val="20"/>
                <w:szCs w:val="20"/>
              </w:rPr>
            </w:pPr>
            <w:r>
              <w:rPr>
                <w:rFonts w:ascii="Arial" w:hAnsi="Arial" w:cs="Arial"/>
                <w:sz w:val="20"/>
                <w:szCs w:val="20"/>
              </w:rPr>
              <w:t xml:space="preserve">Module: </w:t>
            </w:r>
          </w:p>
          <w:p w:rsidR="00DB6BD1" w:rsidRDefault="00DB6BD1" w:rsidP="00DB6BD1">
            <w:pPr>
              <w:pStyle w:val="ListParagraph"/>
              <w:numPr>
                <w:ilvl w:val="0"/>
                <w:numId w:val="1"/>
              </w:numPr>
              <w:ind w:left="405"/>
              <w:rPr>
                <w:rFonts w:ascii="Arial" w:hAnsi="Arial" w:cs="Arial"/>
                <w:sz w:val="20"/>
                <w:szCs w:val="20"/>
              </w:rPr>
            </w:pPr>
            <w:r w:rsidRPr="00DB6BD1">
              <w:rPr>
                <w:rFonts w:ascii="Arial" w:hAnsi="Arial" w:cs="Arial"/>
                <w:sz w:val="20"/>
                <w:szCs w:val="20"/>
              </w:rPr>
              <w:t>Awareness and Sensitivity to Clients Needs</w:t>
            </w:r>
          </w:p>
          <w:p w:rsidR="001D12BB" w:rsidRPr="000159EF" w:rsidRDefault="001D12BB">
            <w:pPr>
              <w:rPr>
                <w:rFonts w:ascii="Arial" w:hAnsi="Arial" w:cs="Arial"/>
                <w:sz w:val="20"/>
                <w:szCs w:val="20"/>
              </w:rPr>
            </w:pPr>
          </w:p>
        </w:tc>
      </w:tr>
      <w:tr w:rsidR="001D12BB" w:rsidRPr="000159EF" w:rsidTr="00F000B3">
        <w:tc>
          <w:tcPr>
            <w:tcW w:w="3160" w:type="pct"/>
          </w:tcPr>
          <w:p w:rsidR="001D12BB" w:rsidRPr="000159EF" w:rsidRDefault="001D12BB" w:rsidP="00DB6BD1">
            <w:pPr>
              <w:rPr>
                <w:rFonts w:ascii="Arial" w:hAnsi="Arial" w:cs="Arial"/>
                <w:sz w:val="20"/>
                <w:szCs w:val="20"/>
              </w:rPr>
            </w:pPr>
            <w:r w:rsidRPr="000159EF">
              <w:rPr>
                <w:rStyle w:val="Strong"/>
                <w:rFonts w:ascii="Arial" w:hAnsi="Arial" w:cs="Arial"/>
                <w:color w:val="333333"/>
                <w:sz w:val="20"/>
                <w:szCs w:val="20"/>
              </w:rPr>
              <w:t>Employment Application Process</w:t>
            </w:r>
            <w:r w:rsidRPr="000159EF">
              <w:rPr>
                <w:rFonts w:ascii="Arial" w:hAnsi="Arial" w:cs="Arial"/>
                <w:color w:val="333333"/>
                <w:sz w:val="20"/>
                <w:szCs w:val="20"/>
              </w:rPr>
              <w:br/>
              <w:t xml:space="preserve">Tests the contestant's readiness in applying for employment and their understanding of the process. </w:t>
            </w:r>
          </w:p>
        </w:tc>
        <w:tc>
          <w:tcPr>
            <w:tcW w:w="1840" w:type="pct"/>
          </w:tcPr>
          <w:p w:rsidR="001D12BB" w:rsidRDefault="00DB6BD1">
            <w:pPr>
              <w:rPr>
                <w:rFonts w:ascii="Arial" w:hAnsi="Arial" w:cs="Arial"/>
                <w:sz w:val="20"/>
                <w:szCs w:val="20"/>
              </w:rPr>
            </w:pPr>
            <w:r>
              <w:rPr>
                <w:rFonts w:ascii="Arial" w:hAnsi="Arial" w:cs="Arial"/>
                <w:sz w:val="20"/>
                <w:szCs w:val="20"/>
              </w:rPr>
              <w:t xml:space="preserve">Module: </w:t>
            </w:r>
          </w:p>
          <w:p w:rsidR="00DB6BD1" w:rsidRPr="00DB6BD1" w:rsidRDefault="00DB6BD1" w:rsidP="00DB6BD1">
            <w:pPr>
              <w:pStyle w:val="ListParagraph"/>
              <w:numPr>
                <w:ilvl w:val="0"/>
                <w:numId w:val="1"/>
              </w:numPr>
              <w:ind w:left="405"/>
              <w:rPr>
                <w:rFonts w:ascii="Arial" w:hAnsi="Arial" w:cs="Arial"/>
                <w:sz w:val="20"/>
                <w:szCs w:val="20"/>
              </w:rPr>
            </w:pPr>
            <w:r>
              <w:rPr>
                <w:rFonts w:ascii="Arial" w:hAnsi="Arial" w:cs="Arial"/>
                <w:sz w:val="20"/>
                <w:szCs w:val="20"/>
              </w:rPr>
              <w:t>Behaviors for Success</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Health Knowledge Bowl</w:t>
            </w:r>
            <w:r w:rsidRPr="000159EF">
              <w:rPr>
                <w:rFonts w:ascii="Arial" w:hAnsi="Arial" w:cs="Arial"/>
                <w:color w:val="333333"/>
                <w:sz w:val="20"/>
                <w:szCs w:val="20"/>
              </w:rPr>
              <w:br/>
              <w:t>Tests teams of four students on their collective knowledge of health occupations. Teams are judged on speed and accuracy answering questions in nine categories:  (1) Academic Foundations; (2) Communication; (3) Systems; (4) Employability Skills; (5) Legal Responsibility; (6) Ethics; (7) Safety Practices; (8) Teamwork; and, (9) Health Maintenance. </w:t>
            </w:r>
          </w:p>
        </w:tc>
        <w:tc>
          <w:tcPr>
            <w:tcW w:w="1840" w:type="pct"/>
          </w:tcPr>
          <w:p w:rsidR="001D12BB" w:rsidRDefault="00DB6BD1" w:rsidP="00F000B3">
            <w:pPr>
              <w:ind w:left="315"/>
              <w:rPr>
                <w:rFonts w:ascii="Arial" w:hAnsi="Arial" w:cs="Arial"/>
                <w:sz w:val="20"/>
                <w:szCs w:val="20"/>
              </w:rPr>
            </w:pPr>
            <w:r>
              <w:rPr>
                <w:rFonts w:ascii="Arial" w:hAnsi="Arial" w:cs="Arial"/>
                <w:sz w:val="20"/>
                <w:szCs w:val="20"/>
              </w:rPr>
              <w:t>1. Academic Foundations not covered</w:t>
            </w:r>
            <w:r w:rsidR="00F000B3">
              <w:rPr>
                <w:rFonts w:ascii="Arial" w:hAnsi="Arial" w:cs="Arial"/>
                <w:sz w:val="20"/>
                <w:szCs w:val="20"/>
              </w:rPr>
              <w:br/>
            </w:r>
          </w:p>
          <w:p w:rsidR="00DB6BD1" w:rsidRDefault="00DB6BD1">
            <w:pPr>
              <w:rPr>
                <w:rFonts w:ascii="Arial" w:hAnsi="Arial" w:cs="Arial"/>
                <w:sz w:val="20"/>
                <w:szCs w:val="20"/>
              </w:rPr>
            </w:pPr>
            <w:r>
              <w:rPr>
                <w:rFonts w:ascii="Arial" w:hAnsi="Arial" w:cs="Arial"/>
                <w:sz w:val="20"/>
                <w:szCs w:val="20"/>
              </w:rPr>
              <w:t xml:space="preserve">Modules: </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Communication in Healthcare</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Behaviors for Success in Healthcare Settings</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Behaviors for Success in Healthcare Settings</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Legal Issues in Healthcare</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Healthcare Ethics</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Healthcare Safety and Standard Precautions</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Communications in Healthcare</w:t>
            </w:r>
          </w:p>
          <w:p w:rsidR="00DB6BD1" w:rsidRPr="00F000B3" w:rsidRDefault="00DB6BD1" w:rsidP="00F000B3">
            <w:pPr>
              <w:pStyle w:val="ListParagraph"/>
              <w:numPr>
                <w:ilvl w:val="0"/>
                <w:numId w:val="3"/>
              </w:numPr>
              <w:rPr>
                <w:rFonts w:ascii="Arial" w:hAnsi="Arial" w:cs="Arial"/>
                <w:sz w:val="20"/>
                <w:szCs w:val="20"/>
              </w:rPr>
            </w:pPr>
            <w:r w:rsidRPr="00F000B3">
              <w:rPr>
                <w:rFonts w:ascii="Arial" w:hAnsi="Arial" w:cs="Arial"/>
                <w:sz w:val="20"/>
                <w:szCs w:val="20"/>
              </w:rPr>
              <w:t>Behaviors for Success in Healthcare Settings</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Health Occupations Professional Portfolio</w:t>
            </w:r>
            <w:r w:rsidRPr="000159EF">
              <w:rPr>
                <w:rFonts w:ascii="Arial" w:hAnsi="Arial" w:cs="Arial"/>
                <w:color w:val="333333"/>
                <w:sz w:val="20"/>
                <w:szCs w:val="20"/>
              </w:rPr>
              <w:br/>
              <w:t xml:space="preserve">The Health Occupations Professional Portfolio contest recognizes students for their successful development of a professional portfolio. The competition evaluates the ability of the students to present themselves to a prospective employer. The contestants will </w:t>
            </w:r>
            <w:r w:rsidRPr="000159EF">
              <w:rPr>
                <w:rFonts w:ascii="Arial" w:hAnsi="Arial" w:cs="Arial"/>
                <w:color w:val="333333"/>
                <w:sz w:val="20"/>
                <w:szCs w:val="20"/>
              </w:rPr>
              <w:lastRenderedPageBreak/>
              <w:t>show the use of the portfolio use effective communication skills in presenting. The contest consists of two parts: a portfolio notebook and a live presentation by the contestant.</w:t>
            </w:r>
          </w:p>
        </w:tc>
        <w:tc>
          <w:tcPr>
            <w:tcW w:w="1840" w:type="pct"/>
          </w:tcPr>
          <w:p w:rsidR="00F000B3" w:rsidRDefault="00F000B3">
            <w:pPr>
              <w:rPr>
                <w:rFonts w:ascii="Arial" w:hAnsi="Arial" w:cs="Arial"/>
                <w:sz w:val="20"/>
                <w:szCs w:val="20"/>
              </w:rPr>
            </w:pPr>
            <w:r>
              <w:rPr>
                <w:rFonts w:ascii="Arial" w:hAnsi="Arial" w:cs="Arial"/>
                <w:sz w:val="20"/>
                <w:szCs w:val="20"/>
              </w:rPr>
              <w:lastRenderedPageBreak/>
              <w:t xml:space="preserve">Module: </w:t>
            </w:r>
          </w:p>
          <w:p w:rsidR="001D12BB" w:rsidRPr="00F000B3" w:rsidRDefault="00F000B3" w:rsidP="00F000B3">
            <w:pPr>
              <w:pStyle w:val="ListParagraph"/>
              <w:numPr>
                <w:ilvl w:val="0"/>
                <w:numId w:val="1"/>
              </w:numPr>
              <w:ind w:left="405"/>
              <w:rPr>
                <w:rFonts w:ascii="Arial" w:hAnsi="Arial" w:cs="Arial"/>
                <w:sz w:val="20"/>
                <w:szCs w:val="20"/>
              </w:rPr>
            </w:pPr>
            <w:r w:rsidRPr="00F000B3">
              <w:rPr>
                <w:rFonts w:ascii="Arial" w:hAnsi="Arial" w:cs="Arial"/>
                <w:sz w:val="20"/>
                <w:szCs w:val="20"/>
              </w:rPr>
              <w:t>Behaviors for Success in Healthcare Settings</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lastRenderedPageBreak/>
              <w:t>Job Interview</w:t>
            </w:r>
            <w:r w:rsidRPr="000159EF">
              <w:rPr>
                <w:rFonts w:ascii="Arial" w:hAnsi="Arial" w:cs="Arial"/>
                <w:color w:val="333333"/>
                <w:sz w:val="20"/>
                <w:szCs w:val="20"/>
              </w:rPr>
              <w:br/>
              <w:t>Divided into three phases: completion of employment applications; preliminary interviews with receptionist; and, in-depth interviews. Contestants are evaluated on their understanding of employment procedures faced in applying for positions in the occupational areas for which they are training.</w:t>
            </w:r>
          </w:p>
        </w:tc>
        <w:tc>
          <w:tcPr>
            <w:tcW w:w="1840" w:type="pct"/>
          </w:tcPr>
          <w:p w:rsidR="00F000B3" w:rsidRDefault="00F000B3" w:rsidP="00F000B3">
            <w:pPr>
              <w:rPr>
                <w:rFonts w:ascii="Arial" w:hAnsi="Arial" w:cs="Arial"/>
                <w:sz w:val="20"/>
                <w:szCs w:val="20"/>
              </w:rPr>
            </w:pPr>
            <w:r>
              <w:rPr>
                <w:rFonts w:ascii="Arial" w:hAnsi="Arial" w:cs="Arial"/>
                <w:sz w:val="20"/>
                <w:szCs w:val="20"/>
              </w:rPr>
              <w:t xml:space="preserve">Module: </w:t>
            </w:r>
          </w:p>
          <w:p w:rsidR="001D12BB" w:rsidRPr="00F000B3" w:rsidRDefault="00F000B3" w:rsidP="00F000B3">
            <w:pPr>
              <w:pStyle w:val="ListParagraph"/>
              <w:numPr>
                <w:ilvl w:val="0"/>
                <w:numId w:val="1"/>
              </w:numPr>
              <w:ind w:left="315" w:hanging="270"/>
              <w:rPr>
                <w:rFonts w:ascii="Arial" w:hAnsi="Arial" w:cs="Arial"/>
                <w:sz w:val="20"/>
                <w:szCs w:val="20"/>
              </w:rPr>
            </w:pPr>
            <w:r w:rsidRPr="00F000B3">
              <w:rPr>
                <w:rFonts w:ascii="Arial" w:hAnsi="Arial" w:cs="Arial"/>
                <w:sz w:val="20"/>
                <w:szCs w:val="20"/>
              </w:rPr>
              <w:t>Behaviors for Success in Healthcare Settings</w:t>
            </w:r>
          </w:p>
        </w:tc>
      </w:tr>
      <w:tr w:rsidR="001D12BB" w:rsidRPr="000159EF" w:rsidTr="00F000B3">
        <w:tc>
          <w:tcPr>
            <w:tcW w:w="3160" w:type="pct"/>
          </w:tcPr>
          <w:p w:rsidR="001D12BB" w:rsidRPr="001D12BB" w:rsidRDefault="001D12BB" w:rsidP="001D12BB">
            <w:pPr>
              <w:spacing w:before="100" w:beforeAutospacing="1" w:after="100" w:afterAutospacing="1"/>
              <w:rPr>
                <w:rFonts w:ascii="Arial" w:eastAsia="Times New Roman" w:hAnsi="Arial" w:cs="Arial"/>
                <w:color w:val="333333"/>
                <w:sz w:val="20"/>
                <w:szCs w:val="20"/>
              </w:rPr>
            </w:pPr>
            <w:r w:rsidRPr="001D12BB">
              <w:rPr>
                <w:rFonts w:ascii="Arial" w:eastAsia="Times New Roman" w:hAnsi="Arial" w:cs="Arial"/>
                <w:b/>
                <w:bCs/>
                <w:color w:val="333333"/>
                <w:sz w:val="20"/>
                <w:szCs w:val="20"/>
              </w:rPr>
              <w:t>Job Skill Demonstration A</w:t>
            </w:r>
            <w:r w:rsidRPr="001D12BB">
              <w:rPr>
                <w:rFonts w:ascii="Arial" w:eastAsia="Times New Roman" w:hAnsi="Arial" w:cs="Arial"/>
                <w:color w:val="333333"/>
                <w:sz w:val="20"/>
                <w:szCs w:val="20"/>
              </w:rPr>
              <w:br/>
              <w:t xml:space="preserve">Contestants demonstrate and explain an entry-level skill used in the occupational area for which they are training. Competitors in Job Skill A must demonstrate a career objective in an occupational area that is included in one of the contest areas of the </w:t>
            </w:r>
            <w:proofErr w:type="spellStart"/>
            <w:r w:rsidRPr="001D12BB">
              <w:rPr>
                <w:rFonts w:ascii="Arial" w:eastAsia="Times New Roman" w:hAnsi="Arial" w:cs="Arial"/>
                <w:color w:val="333333"/>
                <w:sz w:val="20"/>
                <w:szCs w:val="20"/>
              </w:rPr>
              <w:t>SkillsUSA</w:t>
            </w:r>
            <w:proofErr w:type="spellEnd"/>
            <w:r w:rsidRPr="001D12BB">
              <w:rPr>
                <w:rFonts w:ascii="Arial" w:eastAsia="Times New Roman" w:hAnsi="Arial" w:cs="Arial"/>
                <w:color w:val="333333"/>
                <w:sz w:val="20"/>
                <w:szCs w:val="20"/>
              </w:rPr>
              <w:t xml:space="preserve"> Championships.</w:t>
            </w:r>
          </w:p>
          <w:p w:rsidR="001D12BB" w:rsidRPr="000159EF" w:rsidRDefault="001D12BB" w:rsidP="001D12BB">
            <w:pPr>
              <w:rPr>
                <w:rFonts w:ascii="Arial" w:hAnsi="Arial" w:cs="Arial"/>
                <w:sz w:val="20"/>
                <w:szCs w:val="20"/>
              </w:rPr>
            </w:pPr>
            <w:r w:rsidRPr="000159EF">
              <w:rPr>
                <w:rFonts w:ascii="Arial" w:eastAsia="Times New Roman" w:hAnsi="Arial" w:cs="Arial"/>
                <w:b/>
                <w:bCs/>
                <w:color w:val="333333"/>
                <w:sz w:val="20"/>
                <w:szCs w:val="20"/>
              </w:rPr>
              <w:t>Job Skill Demonstration Open</w:t>
            </w:r>
            <w:r w:rsidRPr="000159EF">
              <w:rPr>
                <w:rFonts w:ascii="Arial" w:eastAsia="Times New Roman" w:hAnsi="Arial" w:cs="Arial"/>
                <w:color w:val="333333"/>
                <w:sz w:val="20"/>
                <w:szCs w:val="20"/>
              </w:rPr>
              <w:br/>
              <w:t>Contestants demonstrate and explain an entry-level skill used in the occupational area for which they are training or outside of their training program.  Any technical skill may be demonstrated.</w:t>
            </w:r>
          </w:p>
        </w:tc>
        <w:tc>
          <w:tcPr>
            <w:tcW w:w="1840" w:type="pct"/>
          </w:tcPr>
          <w:p w:rsidR="00F000B3" w:rsidRDefault="00F000B3" w:rsidP="00F000B3">
            <w:pPr>
              <w:rPr>
                <w:rFonts w:ascii="Arial" w:hAnsi="Arial" w:cs="Arial"/>
                <w:sz w:val="20"/>
                <w:szCs w:val="20"/>
              </w:rPr>
            </w:pPr>
            <w:r>
              <w:rPr>
                <w:rFonts w:ascii="Arial" w:hAnsi="Arial" w:cs="Arial"/>
                <w:sz w:val="20"/>
                <w:szCs w:val="20"/>
              </w:rPr>
              <w:t xml:space="preserve">Module: </w:t>
            </w:r>
          </w:p>
          <w:p w:rsidR="001D12BB" w:rsidRPr="00F000B3" w:rsidRDefault="00F000B3" w:rsidP="00F000B3">
            <w:pPr>
              <w:pStyle w:val="ListParagraph"/>
              <w:numPr>
                <w:ilvl w:val="0"/>
                <w:numId w:val="1"/>
              </w:numPr>
              <w:ind w:left="433"/>
              <w:rPr>
                <w:rFonts w:ascii="Arial" w:hAnsi="Arial" w:cs="Arial"/>
                <w:sz w:val="20"/>
                <w:szCs w:val="20"/>
              </w:rPr>
            </w:pPr>
            <w:r w:rsidRPr="00F000B3">
              <w:rPr>
                <w:rFonts w:ascii="Arial" w:hAnsi="Arial" w:cs="Arial"/>
                <w:sz w:val="20"/>
                <w:szCs w:val="20"/>
              </w:rPr>
              <w:t>Behaviors for Success in Healthcare Settings</w:t>
            </w:r>
            <w:r>
              <w:rPr>
                <w:rFonts w:ascii="Arial" w:hAnsi="Arial" w:cs="Arial"/>
                <w:sz w:val="20"/>
                <w:szCs w:val="20"/>
              </w:rPr>
              <w:t xml:space="preserve"> (includes career exploration)</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Medical Terminology</w:t>
            </w:r>
            <w:r w:rsidRPr="000159EF">
              <w:rPr>
                <w:rFonts w:ascii="Arial" w:hAnsi="Arial" w:cs="Arial"/>
                <w:color w:val="333333"/>
                <w:sz w:val="20"/>
                <w:szCs w:val="20"/>
              </w:rPr>
              <w:br/>
              <w:t>To evaluate the knowledge of medical terminology and abbreviations of an individual preparing for employment in the health occupations fields.</w:t>
            </w:r>
          </w:p>
        </w:tc>
        <w:tc>
          <w:tcPr>
            <w:tcW w:w="1840" w:type="pct"/>
          </w:tcPr>
          <w:p w:rsidR="001D12BB" w:rsidRDefault="00F000B3" w:rsidP="00F000B3">
            <w:pPr>
              <w:rPr>
                <w:rFonts w:ascii="Arial" w:hAnsi="Arial" w:cs="Arial"/>
                <w:sz w:val="20"/>
                <w:szCs w:val="20"/>
              </w:rPr>
            </w:pPr>
            <w:r>
              <w:rPr>
                <w:rFonts w:ascii="Arial" w:hAnsi="Arial" w:cs="Arial"/>
                <w:sz w:val="20"/>
                <w:szCs w:val="20"/>
              </w:rPr>
              <w:t>Module:</w:t>
            </w:r>
          </w:p>
          <w:p w:rsidR="00F000B3" w:rsidRPr="00F000B3" w:rsidRDefault="00F000B3" w:rsidP="00F000B3">
            <w:pPr>
              <w:pStyle w:val="ListParagraph"/>
              <w:numPr>
                <w:ilvl w:val="0"/>
                <w:numId w:val="1"/>
              </w:numPr>
              <w:ind w:left="343" w:hanging="270"/>
              <w:rPr>
                <w:rFonts w:ascii="Arial" w:hAnsi="Arial" w:cs="Arial"/>
                <w:sz w:val="20"/>
                <w:szCs w:val="20"/>
              </w:rPr>
            </w:pPr>
            <w:r w:rsidRPr="00F000B3">
              <w:rPr>
                <w:rFonts w:ascii="Arial" w:hAnsi="Arial" w:cs="Arial"/>
                <w:sz w:val="20"/>
                <w:szCs w:val="20"/>
              </w:rPr>
              <w:t>Communication in Healthcare</w:t>
            </w:r>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Nurse Assisting</w:t>
            </w:r>
            <w:r w:rsidRPr="000159EF">
              <w:rPr>
                <w:rFonts w:ascii="Arial" w:hAnsi="Arial" w:cs="Arial"/>
                <w:color w:val="333333"/>
                <w:sz w:val="20"/>
                <w:szCs w:val="20"/>
              </w:rPr>
              <w:br/>
              <w:t>Students will demonstrate knowledge and skill in performing personal care, encouraging patient independence, assisting with ambulation, and performing other routine tasks, including standard infection control procedures used in basic nurse assisting. Students will demonstrate knowledge and abilities in CPR, and the measurement of vital signs. Contestants will be familiar with basic anatomy, communications skills, legal/ethical issues and employment skills</w:t>
            </w:r>
          </w:p>
        </w:tc>
        <w:tc>
          <w:tcPr>
            <w:tcW w:w="1840" w:type="pct"/>
          </w:tcPr>
          <w:p w:rsidR="00F000B3" w:rsidRDefault="00F000B3" w:rsidP="00F000B3">
            <w:pPr>
              <w:rPr>
                <w:rFonts w:ascii="Arial" w:hAnsi="Arial" w:cs="Arial"/>
                <w:sz w:val="20"/>
                <w:szCs w:val="20"/>
              </w:rPr>
            </w:pPr>
            <w:r>
              <w:rPr>
                <w:rFonts w:ascii="Arial" w:hAnsi="Arial" w:cs="Arial"/>
                <w:sz w:val="20"/>
                <w:szCs w:val="20"/>
              </w:rPr>
              <w:t xml:space="preserve">Module:  </w:t>
            </w:r>
          </w:p>
          <w:p w:rsidR="00F000B3" w:rsidRPr="00F000B3" w:rsidRDefault="00F000B3" w:rsidP="00F000B3">
            <w:pPr>
              <w:pStyle w:val="ListParagraph"/>
              <w:numPr>
                <w:ilvl w:val="0"/>
                <w:numId w:val="1"/>
              </w:numPr>
              <w:ind w:left="433"/>
              <w:rPr>
                <w:rFonts w:ascii="Arial" w:hAnsi="Arial" w:cs="Arial"/>
                <w:sz w:val="20"/>
                <w:szCs w:val="20"/>
              </w:rPr>
            </w:pPr>
            <w:r w:rsidRPr="00F000B3">
              <w:rPr>
                <w:rFonts w:ascii="Arial" w:hAnsi="Arial" w:cs="Arial"/>
                <w:sz w:val="20"/>
                <w:szCs w:val="20"/>
              </w:rPr>
              <w:t>All 7 Modules</w:t>
            </w:r>
          </w:p>
          <w:p w:rsidR="00F000B3" w:rsidRPr="00F000B3" w:rsidRDefault="00F000B3" w:rsidP="00F000B3">
            <w:pPr>
              <w:pStyle w:val="ListParagraph"/>
              <w:numPr>
                <w:ilvl w:val="0"/>
                <w:numId w:val="1"/>
              </w:numPr>
              <w:ind w:left="433"/>
              <w:rPr>
                <w:rFonts w:ascii="Arial" w:hAnsi="Arial" w:cs="Arial"/>
                <w:sz w:val="20"/>
                <w:szCs w:val="20"/>
              </w:rPr>
            </w:pPr>
            <w:r w:rsidRPr="00F000B3">
              <w:rPr>
                <w:rFonts w:ascii="Arial" w:hAnsi="Arial" w:cs="Arial"/>
                <w:sz w:val="20"/>
                <w:szCs w:val="20"/>
              </w:rPr>
              <w:t xml:space="preserve">+ the 2 credit Skills set for Nursing Assistant </w:t>
            </w:r>
          </w:p>
          <w:p w:rsidR="001D12BB" w:rsidRPr="000159EF" w:rsidRDefault="00F000B3" w:rsidP="009F39E8">
            <w:pPr>
              <w:ind w:left="433"/>
              <w:rPr>
                <w:rFonts w:ascii="Arial" w:hAnsi="Arial" w:cs="Arial"/>
                <w:sz w:val="20"/>
                <w:szCs w:val="20"/>
              </w:rPr>
            </w:pPr>
            <w:r>
              <w:rPr>
                <w:rFonts w:ascii="Arial" w:hAnsi="Arial" w:cs="Arial"/>
                <w:sz w:val="20"/>
                <w:szCs w:val="20"/>
              </w:rPr>
              <w:t>(if preapproved by the Minnesota Department of Health)</w:t>
            </w:r>
            <w:bookmarkStart w:id="1" w:name="_GoBack"/>
            <w:bookmarkEnd w:id="1"/>
          </w:p>
        </w:tc>
      </w:tr>
      <w:tr w:rsidR="001D12BB" w:rsidRPr="000159EF" w:rsidTr="00F000B3">
        <w:tc>
          <w:tcPr>
            <w:tcW w:w="3160" w:type="pct"/>
          </w:tcPr>
          <w:p w:rsidR="001D12BB" w:rsidRPr="000159EF" w:rsidRDefault="001D12BB">
            <w:pPr>
              <w:rPr>
                <w:rFonts w:ascii="Arial" w:hAnsi="Arial" w:cs="Arial"/>
                <w:sz w:val="20"/>
                <w:szCs w:val="20"/>
              </w:rPr>
            </w:pPr>
            <w:r w:rsidRPr="000159EF">
              <w:rPr>
                <w:rStyle w:val="Strong"/>
                <w:rFonts w:ascii="Arial" w:hAnsi="Arial" w:cs="Arial"/>
                <w:color w:val="333333"/>
                <w:sz w:val="20"/>
                <w:szCs w:val="20"/>
              </w:rPr>
              <w:t>Occupational Health and Safety</w:t>
            </w:r>
            <w:r w:rsidRPr="000159EF">
              <w:rPr>
                <w:rFonts w:ascii="Arial" w:hAnsi="Arial" w:cs="Arial"/>
                <w:color w:val="333333"/>
                <w:sz w:val="20"/>
                <w:szCs w:val="20"/>
              </w:rPr>
              <w:br/>
              <w:t xml:space="preserve">Contestants demonstrate the safety and health endeavors of their respective technical programs by putting together a scrapbook that highlights important programs, activities and events related to their school's health and safety program. The competition encourages chapters to be active in all phases of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xml:space="preserve">. The health and safety activities of the chapters are evaluated on the planning and organization of four projects and the final outcome of those projects. Students are interviewed and scrapbooks are </w:t>
            </w:r>
            <w:r w:rsidRPr="000159EF">
              <w:rPr>
                <w:rFonts w:ascii="Arial" w:hAnsi="Arial" w:cs="Arial"/>
                <w:color w:val="333333"/>
                <w:sz w:val="20"/>
                <w:szCs w:val="20"/>
              </w:rPr>
              <w:lastRenderedPageBreak/>
              <w:t>scored by a panel of judges based on the quality and content of the books and on the candidates' presentation during the interview process.</w:t>
            </w:r>
          </w:p>
        </w:tc>
        <w:tc>
          <w:tcPr>
            <w:tcW w:w="1840" w:type="pct"/>
          </w:tcPr>
          <w:p w:rsidR="001D12BB" w:rsidRDefault="00F000B3" w:rsidP="00F000B3">
            <w:pPr>
              <w:rPr>
                <w:rFonts w:ascii="Arial" w:hAnsi="Arial" w:cs="Arial"/>
                <w:sz w:val="20"/>
                <w:szCs w:val="20"/>
              </w:rPr>
            </w:pPr>
            <w:r>
              <w:rPr>
                <w:rFonts w:ascii="Arial" w:hAnsi="Arial" w:cs="Arial"/>
                <w:sz w:val="20"/>
                <w:szCs w:val="20"/>
              </w:rPr>
              <w:lastRenderedPageBreak/>
              <w:t xml:space="preserve">Module: </w:t>
            </w:r>
          </w:p>
          <w:p w:rsidR="00F000B3" w:rsidRPr="00F000B3" w:rsidRDefault="00F000B3" w:rsidP="00F000B3">
            <w:pPr>
              <w:pStyle w:val="ListParagraph"/>
              <w:numPr>
                <w:ilvl w:val="0"/>
                <w:numId w:val="4"/>
              </w:numPr>
              <w:ind w:left="343" w:hanging="270"/>
              <w:rPr>
                <w:rFonts w:ascii="Arial" w:hAnsi="Arial" w:cs="Arial"/>
                <w:sz w:val="20"/>
                <w:szCs w:val="20"/>
              </w:rPr>
            </w:pPr>
            <w:r w:rsidRPr="00F000B3">
              <w:rPr>
                <w:rFonts w:ascii="Arial" w:hAnsi="Arial" w:cs="Arial"/>
                <w:sz w:val="20"/>
                <w:szCs w:val="20"/>
              </w:rPr>
              <w:t>Healthcare Safety and Standard Precautions</w:t>
            </w:r>
          </w:p>
        </w:tc>
      </w:tr>
      <w:tr w:rsidR="001D12BB" w:rsidRPr="000159EF" w:rsidTr="00F000B3">
        <w:tc>
          <w:tcPr>
            <w:tcW w:w="3160" w:type="pct"/>
          </w:tcPr>
          <w:p w:rsidR="001D12BB" w:rsidRPr="000159EF" w:rsidRDefault="001D12BB">
            <w:pPr>
              <w:rPr>
                <w:rStyle w:val="Strong"/>
                <w:rFonts w:ascii="Arial" w:hAnsi="Arial" w:cs="Arial"/>
                <w:color w:val="333333"/>
                <w:sz w:val="20"/>
                <w:szCs w:val="20"/>
              </w:rPr>
            </w:pPr>
            <w:r w:rsidRPr="000159EF">
              <w:rPr>
                <w:rStyle w:val="Strong"/>
                <w:rFonts w:ascii="Arial" w:hAnsi="Arial" w:cs="Arial"/>
                <w:color w:val="333333"/>
                <w:sz w:val="20"/>
                <w:szCs w:val="20"/>
              </w:rPr>
              <w:lastRenderedPageBreak/>
              <w:t>Prepared Speech</w:t>
            </w:r>
            <w:r w:rsidRPr="000159EF">
              <w:rPr>
                <w:rFonts w:ascii="Arial" w:hAnsi="Arial" w:cs="Arial"/>
                <w:color w:val="333333"/>
                <w:sz w:val="20"/>
                <w:szCs w:val="20"/>
              </w:rPr>
              <w:br/>
              <w:t xml:space="preserve">Requires students to deliver a speech five to seven minutes in length on a common theme established by National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xml:space="preserve"> early in the school year. Contestants are evaluated on their ability to present thoughts relating to a central theme clearly and effectively, and on voice, mechanics, and platform deportment.</w:t>
            </w:r>
          </w:p>
        </w:tc>
        <w:tc>
          <w:tcPr>
            <w:tcW w:w="1840" w:type="pct"/>
          </w:tcPr>
          <w:p w:rsidR="001D12BB" w:rsidRDefault="00F000B3" w:rsidP="00F000B3">
            <w:pPr>
              <w:rPr>
                <w:rFonts w:ascii="Arial" w:hAnsi="Arial" w:cs="Arial"/>
                <w:sz w:val="20"/>
                <w:szCs w:val="20"/>
              </w:rPr>
            </w:pPr>
            <w:r>
              <w:rPr>
                <w:rFonts w:ascii="Arial" w:hAnsi="Arial" w:cs="Arial"/>
                <w:sz w:val="20"/>
                <w:szCs w:val="20"/>
              </w:rPr>
              <w:t xml:space="preserve">Module: </w:t>
            </w:r>
          </w:p>
          <w:p w:rsidR="00F000B3" w:rsidRPr="00F000B3" w:rsidRDefault="00F000B3" w:rsidP="00F000B3">
            <w:pPr>
              <w:pStyle w:val="ListParagraph"/>
              <w:numPr>
                <w:ilvl w:val="0"/>
                <w:numId w:val="4"/>
              </w:numPr>
              <w:ind w:left="433"/>
              <w:rPr>
                <w:rFonts w:ascii="Arial" w:hAnsi="Arial" w:cs="Arial"/>
                <w:sz w:val="20"/>
                <w:szCs w:val="20"/>
              </w:rPr>
            </w:pPr>
            <w:r w:rsidRPr="00F000B3">
              <w:rPr>
                <w:rFonts w:ascii="Arial" w:hAnsi="Arial" w:cs="Arial"/>
                <w:sz w:val="20"/>
                <w:szCs w:val="20"/>
              </w:rPr>
              <w:t>Behaviors for Success in the Healthcare Setting</w:t>
            </w:r>
          </w:p>
        </w:tc>
      </w:tr>
      <w:tr w:rsidR="000159EF" w:rsidRPr="000159EF" w:rsidTr="00F000B3">
        <w:trPr>
          <w:trHeight w:val="1583"/>
        </w:trPr>
        <w:tc>
          <w:tcPr>
            <w:tcW w:w="3160" w:type="pct"/>
          </w:tcPr>
          <w:p w:rsidR="000159EF" w:rsidRPr="000159EF" w:rsidRDefault="000159EF">
            <w:pPr>
              <w:rPr>
                <w:rStyle w:val="Strong"/>
                <w:rFonts w:ascii="Arial" w:hAnsi="Arial" w:cs="Arial"/>
                <w:color w:val="333333"/>
                <w:sz w:val="20"/>
                <w:szCs w:val="20"/>
              </w:rPr>
            </w:pPr>
            <w:r w:rsidRPr="000159EF">
              <w:rPr>
                <w:rStyle w:val="Strong"/>
                <w:rFonts w:ascii="Arial" w:hAnsi="Arial" w:cs="Arial"/>
                <w:color w:val="333333"/>
                <w:sz w:val="20"/>
                <w:szCs w:val="20"/>
              </w:rPr>
              <w:t xml:space="preserve">Promotional Bulletin Board </w:t>
            </w:r>
            <w:r w:rsidRPr="000159EF">
              <w:rPr>
                <w:rFonts w:ascii="Arial" w:hAnsi="Arial" w:cs="Arial"/>
                <w:color w:val="333333"/>
                <w:sz w:val="20"/>
                <w:szCs w:val="20"/>
              </w:rPr>
              <w:br/>
              <w:t xml:space="preserve">Judges bulletin board displays created by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xml:space="preserve"> chapters based on the annual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xml:space="preserve"> theme. The bulletin boards promote </w:t>
            </w:r>
            <w:proofErr w:type="spellStart"/>
            <w:r w:rsidRPr="000159EF">
              <w:rPr>
                <w:rFonts w:ascii="Arial" w:hAnsi="Arial" w:cs="Arial"/>
                <w:color w:val="333333"/>
                <w:sz w:val="20"/>
                <w:szCs w:val="20"/>
              </w:rPr>
              <w:t>SkillsUSA</w:t>
            </w:r>
            <w:proofErr w:type="spellEnd"/>
            <w:r w:rsidRPr="000159EF">
              <w:rPr>
                <w:rFonts w:ascii="Arial" w:hAnsi="Arial" w:cs="Arial"/>
                <w:color w:val="333333"/>
                <w:sz w:val="20"/>
                <w:szCs w:val="20"/>
              </w:rPr>
              <w:t>, career and technical education in general, and related occupational information. An accompanying notebook documents the development and construction of the bulletin board. An oral presentation explains the process, purpose and educational value.</w:t>
            </w:r>
          </w:p>
        </w:tc>
        <w:tc>
          <w:tcPr>
            <w:tcW w:w="1840" w:type="pct"/>
          </w:tcPr>
          <w:p w:rsidR="00F000B3" w:rsidRDefault="00F000B3" w:rsidP="00F000B3">
            <w:pPr>
              <w:rPr>
                <w:rFonts w:ascii="Arial" w:hAnsi="Arial" w:cs="Arial"/>
                <w:sz w:val="20"/>
                <w:szCs w:val="20"/>
              </w:rPr>
            </w:pPr>
            <w:r>
              <w:rPr>
                <w:rFonts w:ascii="Arial" w:hAnsi="Arial" w:cs="Arial"/>
                <w:sz w:val="20"/>
                <w:szCs w:val="20"/>
              </w:rPr>
              <w:t xml:space="preserve">Module: </w:t>
            </w:r>
          </w:p>
          <w:p w:rsidR="000159EF" w:rsidRPr="00F000B3" w:rsidRDefault="00F000B3" w:rsidP="00F000B3">
            <w:pPr>
              <w:pStyle w:val="ListParagraph"/>
              <w:numPr>
                <w:ilvl w:val="0"/>
                <w:numId w:val="4"/>
              </w:numPr>
              <w:ind w:left="343"/>
              <w:rPr>
                <w:rFonts w:ascii="Arial" w:hAnsi="Arial" w:cs="Arial"/>
                <w:sz w:val="20"/>
                <w:szCs w:val="20"/>
              </w:rPr>
            </w:pPr>
            <w:r w:rsidRPr="00F000B3">
              <w:rPr>
                <w:rFonts w:ascii="Arial" w:hAnsi="Arial" w:cs="Arial"/>
                <w:sz w:val="20"/>
                <w:szCs w:val="20"/>
              </w:rPr>
              <w:t>Behaviors for Success in the Healthcare Setting</w:t>
            </w:r>
          </w:p>
        </w:tc>
      </w:tr>
    </w:tbl>
    <w:p w:rsidR="003D7F46" w:rsidRDefault="003D7F46"/>
    <w:sectPr w:rsidR="003D7F46" w:rsidSect="000159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055"/>
    <w:multiLevelType w:val="hybridMultilevel"/>
    <w:tmpl w:val="D7F8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A402F"/>
    <w:multiLevelType w:val="hybridMultilevel"/>
    <w:tmpl w:val="20F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33B71"/>
    <w:multiLevelType w:val="hybridMultilevel"/>
    <w:tmpl w:val="5EA8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D2505"/>
    <w:multiLevelType w:val="hybridMultilevel"/>
    <w:tmpl w:val="9CCEF1C0"/>
    <w:lvl w:ilvl="0" w:tplc="E9D64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F34E6"/>
    <w:multiLevelType w:val="hybridMultilevel"/>
    <w:tmpl w:val="4E6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61661"/>
    <w:multiLevelType w:val="hybridMultilevel"/>
    <w:tmpl w:val="5980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BB"/>
    <w:rsid w:val="000159EF"/>
    <w:rsid w:val="001D12BB"/>
    <w:rsid w:val="003D7F46"/>
    <w:rsid w:val="009F39E8"/>
    <w:rsid w:val="00DB6BD1"/>
    <w:rsid w:val="00F0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3D780-D9DF-4719-A36C-A611C856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2B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D12BB"/>
    <w:rPr>
      <w:b/>
      <w:bCs/>
    </w:rPr>
  </w:style>
  <w:style w:type="character" w:styleId="Hyperlink">
    <w:name w:val="Hyperlink"/>
    <w:basedOn w:val="DefaultParagraphFont"/>
    <w:uiPriority w:val="99"/>
    <w:unhideWhenUsed/>
    <w:rsid w:val="000159EF"/>
    <w:rPr>
      <w:color w:val="0563C1" w:themeColor="hyperlink"/>
      <w:u w:val="single"/>
    </w:rPr>
  </w:style>
  <w:style w:type="paragraph" w:styleId="ListParagraph">
    <w:name w:val="List Paragraph"/>
    <w:basedOn w:val="Normal"/>
    <w:uiPriority w:val="34"/>
    <w:qFormat/>
    <w:rsid w:val="0001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8299">
      <w:bodyDiv w:val="1"/>
      <w:marLeft w:val="0"/>
      <w:marRight w:val="0"/>
      <w:marTop w:val="0"/>
      <w:marBottom w:val="0"/>
      <w:divBdr>
        <w:top w:val="none" w:sz="0" w:space="0" w:color="auto"/>
        <w:left w:val="none" w:sz="0" w:space="0" w:color="auto"/>
        <w:bottom w:val="none" w:sz="0" w:space="0" w:color="auto"/>
        <w:right w:val="none" w:sz="0" w:space="0" w:color="auto"/>
      </w:divBdr>
      <w:divsChild>
        <w:div w:id="313685785">
          <w:marLeft w:val="0"/>
          <w:marRight w:val="0"/>
          <w:marTop w:val="0"/>
          <w:marBottom w:val="0"/>
          <w:divBdr>
            <w:top w:val="none" w:sz="0" w:space="0" w:color="auto"/>
            <w:left w:val="none" w:sz="0" w:space="0" w:color="auto"/>
            <w:bottom w:val="none" w:sz="0" w:space="0" w:color="auto"/>
            <w:right w:val="none" w:sz="0" w:space="0" w:color="auto"/>
          </w:divBdr>
          <w:divsChild>
            <w:div w:id="67843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6085713">
      <w:bodyDiv w:val="1"/>
      <w:marLeft w:val="0"/>
      <w:marRight w:val="0"/>
      <w:marTop w:val="0"/>
      <w:marBottom w:val="0"/>
      <w:divBdr>
        <w:top w:val="none" w:sz="0" w:space="0" w:color="auto"/>
        <w:left w:val="none" w:sz="0" w:space="0" w:color="auto"/>
        <w:bottom w:val="none" w:sz="0" w:space="0" w:color="auto"/>
        <w:right w:val="none" w:sz="0" w:space="0" w:color="auto"/>
      </w:divBdr>
      <w:divsChild>
        <w:div w:id="747652943">
          <w:marLeft w:val="0"/>
          <w:marRight w:val="0"/>
          <w:marTop w:val="0"/>
          <w:marBottom w:val="0"/>
          <w:divBdr>
            <w:top w:val="none" w:sz="0" w:space="0" w:color="auto"/>
            <w:left w:val="none" w:sz="0" w:space="0" w:color="auto"/>
            <w:bottom w:val="none" w:sz="0" w:space="0" w:color="auto"/>
            <w:right w:val="none" w:sz="0" w:space="0" w:color="auto"/>
          </w:divBdr>
        </w:div>
      </w:divsChild>
    </w:div>
    <w:div w:id="1425106090">
      <w:bodyDiv w:val="1"/>
      <w:marLeft w:val="0"/>
      <w:marRight w:val="0"/>
      <w:marTop w:val="0"/>
      <w:marBottom w:val="0"/>
      <w:divBdr>
        <w:top w:val="none" w:sz="0" w:space="0" w:color="auto"/>
        <w:left w:val="none" w:sz="0" w:space="0" w:color="auto"/>
        <w:bottom w:val="none" w:sz="0" w:space="0" w:color="auto"/>
        <w:right w:val="none" w:sz="0" w:space="0" w:color="auto"/>
      </w:divBdr>
    </w:div>
    <w:div w:id="1796370669">
      <w:bodyDiv w:val="1"/>
      <w:marLeft w:val="0"/>
      <w:marRight w:val="0"/>
      <w:marTop w:val="0"/>
      <w:marBottom w:val="0"/>
      <w:divBdr>
        <w:top w:val="none" w:sz="0" w:space="0" w:color="auto"/>
        <w:left w:val="none" w:sz="0" w:space="0" w:color="auto"/>
        <w:bottom w:val="none" w:sz="0" w:space="0" w:color="auto"/>
        <w:right w:val="none" w:sz="0" w:space="0" w:color="auto"/>
      </w:divBdr>
      <w:divsChild>
        <w:div w:id="114670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llsusa.org/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2014-07-09T12:47:00Z</dcterms:created>
  <dcterms:modified xsi:type="dcterms:W3CDTF">2014-07-09T13:33:00Z</dcterms:modified>
</cp:coreProperties>
</file>